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ind w:firstLine="0" w:firstLineChars="0"/>
        <w:contextualSpacing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附件2</w:t>
      </w:r>
    </w:p>
    <w:p>
      <w:pPr>
        <w:pStyle w:val="4"/>
        <w:spacing w:line="360" w:lineRule="auto"/>
        <w:ind w:firstLine="0" w:firstLineChars="0"/>
        <w:contextualSpacing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2017年慢性非传染性疾病预防控制重点工作考核要求</w:t>
      </w:r>
      <w:bookmarkStart w:id="0" w:name="_GoBack"/>
      <w:bookmarkEnd w:id="0"/>
    </w:p>
    <w:p>
      <w:pPr>
        <w:pStyle w:val="4"/>
        <w:spacing w:line="360" w:lineRule="auto"/>
        <w:ind w:firstLine="640"/>
        <w:contextualSpacing/>
        <w:rPr>
          <w:rFonts w:hint="eastAsia" w:ascii="仿宋" w:hAnsi="仿宋" w:eastAsia="仿宋"/>
          <w:sz w:val="32"/>
          <w:szCs w:val="32"/>
        </w:rPr>
      </w:pPr>
    </w:p>
    <w:p>
      <w:pPr>
        <w:pStyle w:val="4"/>
        <w:spacing w:line="480" w:lineRule="exact"/>
        <w:ind w:firstLine="640"/>
        <w:contextualSpacing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为深入推进慢病防治工作，2017年市疾控中心将对全市慢性病防治工作进行考核，具体要求如下。</w:t>
      </w:r>
    </w:p>
    <w:p>
      <w:pPr>
        <w:pStyle w:val="4"/>
        <w:spacing w:line="480" w:lineRule="exact"/>
        <w:ind w:firstLine="627" w:firstLineChars="196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一、常规工作</w:t>
      </w:r>
    </w:p>
    <w:p>
      <w:pPr>
        <w:pStyle w:val="4"/>
        <w:spacing w:line="480" w:lineRule="exact"/>
        <w:ind w:firstLine="630" w:firstLineChars="196"/>
        <w:rPr>
          <w:rFonts w:hint="eastAsia" w:ascii="楷体_GB2312" w:hAnsi="仿宋" w:eastAsia="楷体_GB2312"/>
          <w:b/>
          <w:sz w:val="32"/>
          <w:szCs w:val="32"/>
        </w:rPr>
      </w:pPr>
      <w:r>
        <w:rPr>
          <w:rFonts w:hint="eastAsia" w:ascii="楷体_GB2312" w:hAnsi="仿宋" w:eastAsia="楷体_GB2312"/>
          <w:b/>
          <w:sz w:val="32"/>
          <w:szCs w:val="32"/>
        </w:rPr>
        <w:t>（一）死因监测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市级评估指标为：全市死因监测工作覆盖所有区县，粗死亡率达600/10万；总错误率低于5%（以自动生成的质量评价表为准）。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县区级评估指标：粗死亡率达600/10万及以上；总错误率低于5%（以自动生成的质量评价表为准）。</w:t>
      </w:r>
    </w:p>
    <w:p>
      <w:pPr>
        <w:pStyle w:val="4"/>
        <w:spacing w:line="480" w:lineRule="exact"/>
        <w:ind w:firstLine="643"/>
        <w:rPr>
          <w:rFonts w:hint="eastAsia" w:ascii="楷体_GB2312" w:hAnsi="仿宋" w:eastAsia="楷体_GB2312"/>
          <w:b/>
          <w:sz w:val="32"/>
          <w:szCs w:val="32"/>
        </w:rPr>
      </w:pPr>
      <w:r>
        <w:rPr>
          <w:rFonts w:hint="eastAsia" w:ascii="楷体_GB2312" w:hAnsi="仿宋" w:eastAsia="楷体_GB2312"/>
          <w:b/>
          <w:sz w:val="32"/>
          <w:szCs w:val="32"/>
        </w:rPr>
        <w:t>（二）肿瘤随访登记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市级评估指标：全市肿瘤随访登记工作覆盖所有区县；上报各县区数据及时、内容完整、格式及编码规范；全市各县区工作达到县区级评估指标的比例为50%及以上；每年提交分析报告。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县区级评估指标：所有医疗机构报告覆盖率100%；上报数据及时、内容完整、格式及编码规范，数据无逻辑错误且经check程序审核后无错误；发病率大于150/10万，死亡率大于100/10万；死亡发病比为0.6-0.8，病理诊断比例大于66%，仅有死亡医学证明书的比例大于0，小于15%；每年提交分析报告。</w:t>
      </w:r>
    </w:p>
    <w:p>
      <w:pPr>
        <w:pStyle w:val="4"/>
        <w:spacing w:line="480" w:lineRule="exact"/>
        <w:ind w:firstLine="643"/>
        <w:rPr>
          <w:rFonts w:hint="eastAsia" w:ascii="楷体_GB2312" w:hAnsi="仿宋" w:eastAsia="楷体_GB2312"/>
          <w:b/>
          <w:sz w:val="32"/>
          <w:szCs w:val="32"/>
        </w:rPr>
      </w:pPr>
      <w:r>
        <w:rPr>
          <w:rFonts w:hint="eastAsia" w:ascii="楷体_GB2312" w:hAnsi="仿宋" w:eastAsia="楷体_GB2312"/>
          <w:b/>
          <w:sz w:val="32"/>
          <w:szCs w:val="32"/>
        </w:rPr>
        <w:t>（三）全民健康生活方式行动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市州级评估指标：全民健康生活方式行动县区覆盖率100%；全国疾控系统慢性病防控与营养工作进展季度报表县区按时完成率100%；审核率95%以上，完成全民健康生活方式行动第一阶段工作总结和评估。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县区级评估指标：培训健康生活方式指导员不低于200名，至少新创建九大类健康支持性环境中的4大类；至少开展4次慢病健康主题日宣传活动；开展无烟医院、无烟校园、无烟单位等各类无烟环境创建不少于3家；至少1个学校开展快乐10分钟活动，至少开展“三减三健”中的一类。全国疾控系统慢性病防控与营养工作进展季度报表按时完成率100%。考核重点以全民健康生活方式行动网报信息为考核依据。</w:t>
      </w:r>
    </w:p>
    <w:p>
      <w:pPr>
        <w:pStyle w:val="4"/>
        <w:spacing w:line="480" w:lineRule="exact"/>
        <w:ind w:firstLine="640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二、项目工作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按项目方案要求对儿童口腔、农村癫痫、肿瘤登记、心血管监测等项目工作进行考核。</w:t>
      </w:r>
    </w:p>
    <w:p>
      <w:pPr>
        <w:pStyle w:val="4"/>
        <w:spacing w:line="480" w:lineRule="exact"/>
        <w:ind w:firstLine="640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三、慢性病防控工作创新</w:t>
      </w:r>
    </w:p>
    <w:p>
      <w:pPr>
        <w:pStyle w:val="4"/>
        <w:spacing w:line="48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作为加分项目，各市、区县根据本地区的实际情况创新性地针对减盐、限油、促进身体活动、健康教育与健康促进、支持性环境建设、健康管理等方面开展创新性的试点工作，并及时上报相关的信息，在考核中作为加分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942AA"/>
    <w:rsid w:val="5CB942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2017-03-02T01:49:00Z</dcterms:created>
  <dc:creator>Administrator</dc:creator>
  <cp:lastModifiedBy>Administrator</cp:lastModifiedBy>
  <dcterms:modified xsi:type="dcterms:W3CDTF">2017-03-02T01:51:03Z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