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0" w:lineRule="atLeast"/>
        <w:rPr>
          <w:rFonts w:hint="eastAsia" w:ascii="黑体" w:hAnsi="仿宋" w:eastAsia="黑体"/>
          <w:sz w:val="32"/>
          <w:szCs w:val="32"/>
        </w:rPr>
      </w:pPr>
      <w:r>
        <w:rPr>
          <w:rFonts w:hint="eastAsia" w:ascii="黑体" w:hAnsi="仿宋" w:eastAsia="黑体"/>
          <w:sz w:val="32"/>
          <w:szCs w:val="32"/>
        </w:rPr>
        <w:t>附件1</w:t>
      </w:r>
    </w:p>
    <w:p>
      <w:pPr>
        <w:spacing w:line="520" w:lineRule="exact"/>
        <w:jc w:val="center"/>
        <w:rPr>
          <w:rFonts w:hint="eastAsia" w:ascii="宋体" w:hAnsi="宋体"/>
          <w:b/>
          <w:sz w:val="36"/>
          <w:szCs w:val="36"/>
        </w:rPr>
      </w:pPr>
      <w:r>
        <w:rPr>
          <w:rFonts w:hint="eastAsia" w:ascii="宋体" w:hAnsi="宋体"/>
          <w:b/>
          <w:sz w:val="36"/>
          <w:szCs w:val="36"/>
        </w:rPr>
        <w:t>乐山市</w:t>
      </w:r>
      <w:r>
        <w:rPr>
          <w:rFonts w:ascii="宋体" w:hAnsi="宋体"/>
          <w:b/>
          <w:sz w:val="36"/>
          <w:szCs w:val="36"/>
        </w:rPr>
        <w:t>2016</w:t>
      </w:r>
      <w:r>
        <w:rPr>
          <w:rFonts w:hint="eastAsia" w:ascii="宋体" w:hAnsi="宋体"/>
          <w:b/>
          <w:sz w:val="36"/>
          <w:szCs w:val="36"/>
        </w:rPr>
        <w:t>年慢性非传染性疾病</w:t>
      </w:r>
    </w:p>
    <w:p>
      <w:pPr>
        <w:spacing w:line="520" w:lineRule="exact"/>
        <w:jc w:val="center"/>
        <w:rPr>
          <w:rFonts w:ascii="宋体" w:hAnsi="宋体"/>
          <w:b/>
          <w:sz w:val="36"/>
          <w:szCs w:val="36"/>
        </w:rPr>
      </w:pPr>
      <w:r>
        <w:rPr>
          <w:rFonts w:hint="eastAsia" w:ascii="宋体" w:hAnsi="宋体"/>
          <w:b/>
          <w:sz w:val="36"/>
          <w:szCs w:val="36"/>
        </w:rPr>
        <w:t>预防控制重点工作总结</w:t>
      </w:r>
    </w:p>
    <w:p>
      <w:pPr>
        <w:spacing w:line="520" w:lineRule="exact"/>
        <w:ind w:firstLine="551" w:firstLineChars="196"/>
        <w:contextualSpacing/>
        <w:rPr>
          <w:rFonts w:ascii="宋体" w:hAnsi="宋体"/>
          <w:b/>
          <w:sz w:val="28"/>
          <w:szCs w:val="28"/>
        </w:rPr>
      </w:pPr>
    </w:p>
    <w:p>
      <w:pPr>
        <w:spacing w:line="480" w:lineRule="exact"/>
        <w:ind w:firstLine="640" w:firstLineChars="200"/>
        <w:contextualSpacing/>
        <w:jc w:val="both"/>
        <w:rPr>
          <w:rFonts w:hint="eastAsia" w:ascii="黑体" w:hAnsi="宋体" w:eastAsia="黑体"/>
          <w:sz w:val="32"/>
          <w:szCs w:val="32"/>
        </w:rPr>
      </w:pPr>
      <w:r>
        <w:rPr>
          <w:rFonts w:hint="eastAsia" w:ascii="黑体" w:hAnsi="宋体" w:eastAsia="黑体"/>
          <w:sz w:val="32"/>
          <w:szCs w:val="32"/>
        </w:rPr>
        <w:t>一、健全工作体系，完善防治网络</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各地加快推进慢性病防控体系建设，完善“政府主导、多部门合作、全社会参与”工作机制。为确保慢病防治工作的顺利进行，市疾控中心成立了促进基本公共卫生服务均等化指导中心办公室（简称基公办）和慢病所，并设专人负责慢病防治工作。部分区县在原疾控科或结防所的基础上成立了慢病科，指定专人负责慢性病防控、死因监测和肿瘤随访登记等工作。</w:t>
      </w:r>
    </w:p>
    <w:p>
      <w:pPr>
        <w:spacing w:line="480" w:lineRule="exact"/>
        <w:ind w:firstLine="627" w:firstLineChars="196"/>
        <w:contextualSpacing/>
        <w:jc w:val="both"/>
        <w:rPr>
          <w:rFonts w:hint="eastAsia" w:ascii="黑体" w:hAnsi="宋体" w:eastAsia="黑体"/>
          <w:sz w:val="32"/>
          <w:szCs w:val="32"/>
        </w:rPr>
      </w:pPr>
      <w:r>
        <w:rPr>
          <w:rFonts w:hint="eastAsia" w:ascii="黑体" w:hAnsi="宋体" w:eastAsia="黑体"/>
          <w:sz w:val="32"/>
          <w:szCs w:val="32"/>
        </w:rPr>
        <w:t>二、加强培训指导，提升防控能力</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市疾控中心积极组织县级专业技术人员参加省级举办的死因监测、全民健康生活方式行动技术、肿瘤随访登记和儿童口腔疾病综合干预项目技术、贫困县区健康管理员和风湿/慢阻肺等培训班。市疾控中心于2016年4月召开了全市慢性非传染性疾病预防控制工作会议，全市11个县（市、区）卫计局分管局长和防保股股长、疾控中心主任和慢病科（所）长共50余人参加了会议。市卫计局分管局长陈玉辉、疾控科副科长代磊，市疾控中心主任林红出席了会议。会议邀请了省疾控中心党委书记吴先萍进行了专题讲座。此次会议的召开，进一步提高了参会人员对慢病危害性、慢病防治工作的重要性和紧迫性的认识。</w:t>
      </w:r>
    </w:p>
    <w:p>
      <w:pPr>
        <w:spacing w:line="480" w:lineRule="exact"/>
        <w:ind w:firstLine="627" w:firstLineChars="196"/>
        <w:jc w:val="both"/>
        <w:rPr>
          <w:rFonts w:hint="eastAsia" w:ascii="仿宋_GB2312" w:hAnsi="宋体" w:eastAsia="仿宋_GB2312"/>
          <w:sz w:val="32"/>
          <w:szCs w:val="32"/>
        </w:rPr>
      </w:pPr>
      <w:r>
        <w:rPr>
          <w:rFonts w:hint="eastAsia" w:ascii="仿宋_GB2312" w:hAnsi="宋体" w:eastAsia="仿宋_GB2312"/>
          <w:sz w:val="32"/>
          <w:szCs w:val="32"/>
        </w:rPr>
        <w:t xml:space="preserve">各区县也举办了死因监测、肿瘤随访登记、贫困县区健康管理员和风湿/慢阻肺等相关培训。市疾控中心指导各区县开展慢病预防与控制工作，提高各项工作和项目的执行效果。 </w:t>
      </w:r>
    </w:p>
    <w:p>
      <w:pPr>
        <w:spacing w:line="480" w:lineRule="exact"/>
        <w:ind w:firstLine="627" w:firstLineChars="196"/>
        <w:contextualSpacing/>
        <w:jc w:val="both"/>
        <w:rPr>
          <w:rFonts w:hint="eastAsia" w:ascii="黑体" w:hAnsi="宋体" w:eastAsia="黑体"/>
          <w:sz w:val="32"/>
          <w:szCs w:val="32"/>
        </w:rPr>
      </w:pPr>
      <w:r>
        <w:rPr>
          <w:rFonts w:hint="eastAsia" w:ascii="黑体" w:hAnsi="宋体" w:eastAsia="黑体"/>
          <w:sz w:val="32"/>
          <w:szCs w:val="32"/>
        </w:rPr>
        <w:t>三、认真开展各项监测与干预工作，做好质量控制，确保工作质量</w:t>
      </w:r>
    </w:p>
    <w:p>
      <w:pPr>
        <w:pStyle w:val="4"/>
        <w:spacing w:line="480" w:lineRule="exact"/>
        <w:ind w:firstLine="630" w:firstLineChars="196"/>
        <w:contextualSpacing/>
        <w:rPr>
          <w:rFonts w:hint="eastAsia" w:ascii="楷体_GB2312" w:hAnsi="宋体" w:eastAsia="楷体_GB2312"/>
          <w:b/>
          <w:sz w:val="32"/>
          <w:szCs w:val="32"/>
        </w:rPr>
      </w:pPr>
      <w:r>
        <w:rPr>
          <w:rFonts w:hint="eastAsia" w:ascii="楷体_GB2312" w:hAnsi="宋体" w:eastAsia="楷体_GB2312"/>
          <w:b/>
          <w:sz w:val="32"/>
          <w:szCs w:val="32"/>
        </w:rPr>
        <w:t>（一）常规工作</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1.全面推进全人群死因监测工作</w:t>
      </w:r>
    </w:p>
    <w:p>
      <w:pPr>
        <w:spacing w:line="480" w:lineRule="exact"/>
        <w:ind w:firstLine="627" w:firstLineChars="196"/>
        <w:jc w:val="both"/>
        <w:rPr>
          <w:rFonts w:hint="eastAsia" w:ascii="仿宋_GB2312" w:hAnsi="宋体" w:eastAsia="仿宋_GB2312"/>
          <w:sz w:val="32"/>
          <w:szCs w:val="32"/>
        </w:rPr>
      </w:pPr>
      <w:r>
        <w:rPr>
          <w:rFonts w:hint="eastAsia" w:ascii="仿宋_GB2312" w:hAnsi="宋体" w:eastAsia="仿宋_GB2312"/>
          <w:sz w:val="32"/>
          <w:szCs w:val="32"/>
        </w:rPr>
        <w:t>市疾控中心加强能力建设和数据质量控制，指导各区县做好全人群死因监测工作，确保实现慢病防治规划确定的目标。截至2016年底，全市所有区县均开展了全人群死因监测工作。我市2016年共报告死亡病例21259例（常规质量分析报表按死亡时间统计），报告粗死亡率6.52‰，达到了6‰的参考值水平。除了两边一川金口河外，其余7个区县报告粗死亡率都超过了6‰，分别是：井研县（7.76‰）、犍为县（7.51‰）、市中区（7.18‰）、夹江县（6.72‰）、五通桥区（6.56‰）、沙湾区（6.55‰）和峨眉山市（6.28‰）。峨边县报告粗死亡率较低，只有2.96‰。全市医疗机构报告质量指标（死因诊断不明、伤害意图不明、心血管病缺乏诊断意义、肿瘤未指明位置和呼衰/肝衰比例）五项合计为1.64%，各区县均达到低于5%的指标要求。</w:t>
      </w:r>
    </w:p>
    <w:p>
      <w:pPr>
        <w:spacing w:line="480" w:lineRule="exact"/>
        <w:ind w:firstLine="627" w:firstLineChars="196"/>
        <w:jc w:val="both"/>
        <w:rPr>
          <w:rFonts w:hint="eastAsia" w:ascii="仿宋_GB2312" w:hAnsi="宋体" w:eastAsia="仿宋_GB2312"/>
          <w:sz w:val="32"/>
          <w:szCs w:val="32"/>
        </w:rPr>
      </w:pPr>
      <w:r>
        <w:rPr>
          <w:rFonts w:hint="eastAsia" w:ascii="仿宋_GB2312" w:hAnsi="宋体" w:eastAsia="仿宋_GB2312"/>
          <w:sz w:val="32"/>
          <w:szCs w:val="32"/>
        </w:rPr>
        <w:t>2.加强肿瘤随访登记工作</w:t>
      </w:r>
    </w:p>
    <w:p>
      <w:pPr>
        <w:pStyle w:val="5"/>
        <w:spacing w:line="480" w:lineRule="exact"/>
        <w:ind w:firstLine="640" w:firstLineChars="200"/>
        <w:jc w:val="both"/>
        <w:rPr>
          <w:rFonts w:hint="eastAsia" w:ascii="仿宋_GB2312" w:eastAsia="仿宋_GB2312" w:cs="微软雅黑"/>
          <w:color w:val="auto"/>
          <w:sz w:val="32"/>
          <w:szCs w:val="32"/>
        </w:rPr>
      </w:pPr>
      <w:r>
        <w:rPr>
          <w:rFonts w:hint="eastAsia" w:ascii="仿宋_GB2312" w:hAnsi="宋体" w:eastAsia="仿宋_GB2312"/>
          <w:sz w:val="32"/>
          <w:szCs w:val="32"/>
        </w:rPr>
        <w:t>国家级肿瘤监测点市中区深入开展肿瘤随访登记工作，提高报告数量和质量，完善肿瘤死亡补发病报告工作机制。2016年6月，四川省10个国家级登记点向全国肿瘤登记中心上报2013年肿瘤登记数据，经过数轮审核、修改，包括市中区在内的8个登记处数据符合标准</w:t>
      </w:r>
      <w:r>
        <w:rPr>
          <w:rFonts w:hint="eastAsia" w:ascii="仿宋_GB2312" w:hAnsi="宋体"/>
          <w:sz w:val="32"/>
          <w:szCs w:val="32"/>
        </w:rPr>
        <w:t>幵</w:t>
      </w:r>
      <w:r>
        <w:rPr>
          <w:rFonts w:hint="eastAsia" w:ascii="仿宋_GB2312" w:hAnsi="宋体" w:eastAsia="仿宋_GB2312"/>
          <w:sz w:val="32"/>
          <w:szCs w:val="32"/>
        </w:rPr>
        <w:t>纳入国家年报分析。 根据《国家卫生计生委 国家中医药管理局关于印发肿瘤登记管理办法的通知》（国卫疾控发〔2015〕6号）和四川省卫计委的相关要求，自2015年1月1日起，全市所有县市区均要求开展肿瘤随访登记工作。经过两年的努力，我市肿瘤随访登记的报告数量和质量均有所提高。从2016年起国家启用肿瘤登记平台，大部分区县都逐步开始在平台录入数据。2016年我市共报告肿瘤发病数4416例，报告发病率125.05/10万，死亡数2946例，报告死亡率83.42/10万，死亡发病比为0.67；病理诊断比例为56.95%；DCO(仅有死亡医学证明书)比例为2.34%。</w:t>
      </w:r>
    </w:p>
    <w:p>
      <w:pPr>
        <w:pStyle w:val="4"/>
        <w:spacing w:line="480" w:lineRule="exact"/>
        <w:ind w:firstLine="480" w:firstLineChars="150"/>
        <w:contextualSpacing/>
        <w:rPr>
          <w:rFonts w:hint="eastAsia" w:ascii="仿宋_GB2312" w:hAnsi="宋体" w:eastAsia="仿宋_GB2312"/>
          <w:sz w:val="32"/>
          <w:szCs w:val="32"/>
        </w:rPr>
      </w:pPr>
      <w:r>
        <w:rPr>
          <w:rFonts w:hint="eastAsia" w:ascii="仿宋_GB2312" w:hAnsi="宋体" w:eastAsia="仿宋_GB2312"/>
          <w:sz w:val="32"/>
          <w:szCs w:val="32"/>
        </w:rPr>
        <w:t>3.加强健康宣传，广泛深入开展全民健康生活方式行动</w:t>
      </w:r>
    </w:p>
    <w:p>
      <w:pPr>
        <w:spacing w:line="480" w:lineRule="exact"/>
        <w:ind w:firstLine="465"/>
        <w:contextualSpacing/>
        <w:jc w:val="both"/>
        <w:rPr>
          <w:rFonts w:hint="eastAsia" w:ascii="仿宋_GB2312" w:hAnsi="宋体" w:eastAsia="仿宋_GB2312" w:cs="宋体"/>
          <w:sz w:val="32"/>
          <w:szCs w:val="32"/>
        </w:rPr>
      </w:pPr>
      <w:r>
        <w:rPr>
          <w:rFonts w:hint="eastAsia" w:ascii="仿宋_GB2312" w:hAnsi="宋体" w:eastAsia="仿宋_GB2312" w:cs="宋体"/>
          <w:sz w:val="32"/>
          <w:szCs w:val="32"/>
        </w:rPr>
        <w:t>各区县积极开展全民健康生活方式行动日、全国爱牙日、全国高血压日、世界卒中日、联合国糖尿病日等慢病日宣传活动，积极传播慢性病防治相关知识,注重扩大全民健康生活方式行动覆盖面与深化行动内涵并重，结合卫生部《疾病预防控制工作绩效评估标准（2012年）》，加快推进使全民健康生活方式行动成为各地疾病预防控制中心的常规工作任务。截至2016年底，我市11个区县均启动了全民健康生活方式行动，区县覆盖率达100%。</w:t>
      </w:r>
      <w:r>
        <w:rPr>
          <w:rFonts w:hint="eastAsia" w:ascii="仿宋_GB2312" w:hAnsi="宋体" w:eastAsia="仿宋_GB2312"/>
          <w:sz w:val="32"/>
          <w:szCs w:val="32"/>
        </w:rPr>
        <w:t>2016年依托四川省贫困县区健康管理员培训项目工作，我市四个项目工作县（峨边县、沐川县、马边彝族自治县和金口河区）共计培训健康管理员115名，培养健康生活方式指导员925名，不但突破了以往全民健康生活方式指导员“0”关，而且还超额完成任务。全市11个区县除夹江县仅培养172名指导员外，其余10个区县均超额完成任务，2016年全市共计培养健康生活方式指导员2392名。全市各区县</w:t>
      </w:r>
      <w:r>
        <w:rPr>
          <w:rFonts w:hint="eastAsia" w:ascii="仿宋_GB2312" w:hAnsi="宋体" w:eastAsia="仿宋_GB2312" w:cs="宋体"/>
          <w:sz w:val="32"/>
          <w:szCs w:val="32"/>
        </w:rPr>
        <w:t>积极创建健康支持性环境。我市全民健康生活方式行动开展情况详见《乐山市2016年全民健康生活方式行动工作总结》。</w:t>
      </w:r>
    </w:p>
    <w:p>
      <w:pPr>
        <w:spacing w:line="480" w:lineRule="exact"/>
        <w:ind w:firstLine="640" w:firstLineChars="200"/>
        <w:contextualSpacing/>
        <w:jc w:val="both"/>
        <w:rPr>
          <w:rFonts w:hint="eastAsia" w:ascii="仿宋_GB2312" w:hAnsi="宋体" w:eastAsia="仿宋_GB2312" w:cs="宋体"/>
          <w:color w:val="FF0000"/>
          <w:sz w:val="32"/>
          <w:szCs w:val="32"/>
        </w:rPr>
      </w:pPr>
      <w:r>
        <w:rPr>
          <w:rFonts w:hint="eastAsia" w:ascii="仿宋_GB2312" w:hAnsi="宋体" w:eastAsia="仿宋_GB2312" w:cs="宋体"/>
          <w:sz w:val="32"/>
          <w:szCs w:val="32"/>
        </w:rPr>
        <w:t>4.重点慢性病和老年人管理</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sz w:val="32"/>
          <w:szCs w:val="32"/>
        </w:rPr>
        <w:t>各区县疾控中心结合基本公共卫生服务均等化工作，指导基层开展高血压、糖尿病、重性精神疾病等重点慢性病患者和老年人的健康管理工作，提供针对性的膳食、运动指导和戒烟服务等非药物治疗服务工作。市疾控中心对全市基本公共卫生服务均等化工作开展情况进行了督导与考核。</w:t>
      </w:r>
    </w:p>
    <w:p>
      <w:pPr>
        <w:pStyle w:val="4"/>
        <w:spacing w:line="480" w:lineRule="exact"/>
        <w:ind w:firstLine="640"/>
        <w:rPr>
          <w:rFonts w:hint="eastAsia" w:ascii="仿宋_GB2312" w:hAnsi="宋体" w:eastAsia="仿宋_GB2312"/>
          <w:sz w:val="32"/>
          <w:szCs w:val="32"/>
        </w:rPr>
      </w:pPr>
      <w:r>
        <w:rPr>
          <w:rFonts w:hint="eastAsia" w:ascii="仿宋_GB2312" w:hAnsi="宋体" w:eastAsia="仿宋_GB2312"/>
          <w:sz w:val="32"/>
          <w:szCs w:val="32"/>
        </w:rPr>
        <w:t>全市常住居民规范化电子建档率、高血压和糖尿病健康管理率及规范化管理率参见市基本公共卫生服务均等化办公室的总结报告。对检出的重性精神疾病患者做到了“应管尽管”，并全部录入“国家重性精神疾病基本数据收集分析系统”。</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cs="宋体"/>
          <w:sz w:val="32"/>
          <w:szCs w:val="32"/>
        </w:rPr>
        <w:t>5.</w:t>
      </w:r>
      <w:r>
        <w:rPr>
          <w:rFonts w:hint="eastAsia" w:ascii="仿宋_GB2312" w:hAnsi="宋体" w:eastAsia="仿宋_GB2312"/>
          <w:sz w:val="32"/>
          <w:szCs w:val="32"/>
        </w:rPr>
        <w:t>信息报送及利用</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sz w:val="32"/>
          <w:szCs w:val="32"/>
        </w:rPr>
        <w:t>各县区每季度上报全国疾控系统慢性病与营养重点工作进展季报表，网报数据由疾控填报专员于每季度结束后15日内提交，并导出网报表加盖公章后，扫描成PDF文件上传到季报表信息平台，纸质版与网报数据保持一致。各区县均按时完成报告。</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sz w:val="32"/>
          <w:szCs w:val="32"/>
        </w:rPr>
        <w:t>各区县加强对死因监测、肿瘤登记、慢病监测、慢病管理等数据的分析利用，促进慢病防控工作和政府决策制定。</w:t>
      </w:r>
    </w:p>
    <w:p>
      <w:pPr>
        <w:spacing w:line="480" w:lineRule="exact"/>
        <w:ind w:firstLine="643" w:firstLineChars="200"/>
        <w:contextualSpacing/>
        <w:jc w:val="both"/>
        <w:rPr>
          <w:rFonts w:hint="eastAsia" w:ascii="楷体_GB2312" w:hAnsi="宋体" w:eastAsia="楷体_GB2312" w:cs="宋体"/>
          <w:b/>
          <w:sz w:val="32"/>
          <w:szCs w:val="32"/>
        </w:rPr>
      </w:pPr>
      <w:r>
        <w:rPr>
          <w:rFonts w:hint="eastAsia" w:ascii="楷体_GB2312" w:hAnsi="宋体" w:eastAsia="楷体_GB2312" w:cs="宋体"/>
          <w:b/>
          <w:sz w:val="32"/>
          <w:szCs w:val="32"/>
        </w:rPr>
        <w:t>（二）中财项目及贫困县区精准扶贫项目</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sz w:val="32"/>
          <w:szCs w:val="32"/>
        </w:rPr>
        <w:t>1.实施儿童口腔疾病综合干预项目</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sz w:val="32"/>
          <w:szCs w:val="32"/>
        </w:rPr>
        <w:t>在市中区和峨眉山市开展儿童口腔疾病综合干预项目，对7-9岁儿童进行窝沟封闭。</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sz w:val="32"/>
          <w:szCs w:val="32"/>
        </w:rPr>
        <w:t>市中区为确保2000颗封闭任务按期完成，结合实际制定了《乐山市市中区儿童口腔疾病综合干预项目实施方案》，对城区及周边的9家学校开展窝沟封闭项目工作，全区参与口腔健康检查595人，参与窝沟封闭的儿童人数590人，完成窝沟封闭牙齿2017颗。同时按照方案要求，开展封闭质量复查。复查按照省级方案，对所有封闭儿童中随机抽取20%的学生120人进行复查，复查结果为封闭完好牙齿颗数859颗，完好率89.22%，达到了省级项目组要求的标准。</w:t>
      </w:r>
    </w:p>
    <w:p>
      <w:pPr>
        <w:pStyle w:val="4"/>
        <w:spacing w:line="480" w:lineRule="exact"/>
        <w:ind w:firstLine="640"/>
        <w:contextualSpacing/>
        <w:rPr>
          <w:rFonts w:hint="eastAsia" w:ascii="仿宋_GB2312" w:hAnsi="宋体" w:eastAsia="仿宋_GB2312"/>
          <w:sz w:val="32"/>
          <w:szCs w:val="32"/>
        </w:rPr>
      </w:pPr>
      <w:r>
        <w:rPr>
          <w:rFonts w:hint="eastAsia" w:ascii="仿宋_GB2312" w:hAnsi="宋体" w:eastAsia="仿宋_GB2312"/>
          <w:sz w:val="32"/>
          <w:szCs w:val="32"/>
        </w:rPr>
        <w:t>峨眉山市在项目实施过程中,进行健康教育覆盖的人数为4886人, 覆盖学校数为8所,口腔健康检查人数1362人，完成窝沟封闭人数为1547人，完成窝沟封闭牙齿数为5018颗。按照儿童口腔窝沟封闭项目复查的要求，采取“随机”原则，在封闭后的第3个月选择20%的人群进行复查，复查人数295人，复查牙齿1086颗，复查率21.64%；其中充填有龋22颗，封闭剂部分脱落有65颗，无封闭剂的有13颗，封闭完好986颗，复查封闭完好率90.79%，高于项目要求的85%。</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2.继续做好中国农村地区癫痫防治管理</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五通桥区按照项目要求继续开展农村癫痫防治管理治疗项目工作。2016年全区共筛查疑似癫痫病人100人，本年度新增患者12人。巴比妥治疗随访患者247人，占患者总数的81.79%，丙戊酸钠治疗随访患者55人，占患者总数的18.22%。2016</w:t>
      </w:r>
      <w:r>
        <w:rPr>
          <w:rFonts w:hint="eastAsia" w:ascii="仿宋_GB2312" w:hAnsi="宋体" w:eastAsia="仿宋_GB2312"/>
          <w:color w:val="000000"/>
          <w:sz w:val="32"/>
          <w:szCs w:val="32"/>
        </w:rPr>
        <w:t>年癫痫防治项目全区</w:t>
      </w:r>
      <w:r>
        <w:rPr>
          <w:rFonts w:hint="eastAsia" w:ascii="仿宋_GB2312" w:hAnsi="宋体" w:eastAsia="仿宋_GB2312" w:cs="Arial"/>
          <w:color w:val="000000"/>
          <w:sz w:val="32"/>
          <w:szCs w:val="32"/>
        </w:rPr>
        <w:t>治疗随访病人任务数为290人，</w:t>
      </w:r>
      <w:r>
        <w:rPr>
          <w:rFonts w:hint="eastAsia" w:ascii="仿宋_GB2312" w:hAnsi="宋体" w:eastAsia="仿宋_GB2312"/>
          <w:sz w:val="32"/>
          <w:szCs w:val="32"/>
        </w:rPr>
        <w:t>目前治疗随访患者302人，完成总任务的104.14%。患者使用苯巴比妥和丙戊酸钠两种药物治疗，大多数病人依从性较好，用药后症状得到有效控制，仅有少数病人用药后效果不明显。对2011年开始入组治疗的大多数患者进行复核、复诊，绝大部分病人依从性较好。病人服药后40%有效，60%显效，60%的患者治疗后无发作或发作减少，30%病人治疗4年多未发作过。</w:t>
      </w:r>
    </w:p>
    <w:p>
      <w:pPr>
        <w:spacing w:line="480" w:lineRule="exact"/>
        <w:ind w:firstLine="627" w:firstLineChars="196"/>
        <w:jc w:val="both"/>
        <w:rPr>
          <w:rFonts w:hint="eastAsia" w:ascii="仿宋_GB2312" w:hAnsi="宋体" w:eastAsia="仿宋_GB2312"/>
          <w:sz w:val="32"/>
          <w:szCs w:val="32"/>
        </w:rPr>
      </w:pPr>
      <w:r>
        <w:rPr>
          <w:rFonts w:hint="eastAsia" w:ascii="仿宋_GB2312" w:hAnsi="宋体" w:eastAsia="仿宋_GB2312"/>
          <w:sz w:val="32"/>
          <w:szCs w:val="32"/>
        </w:rPr>
        <w:t>3.心脑血管疾病监测</w:t>
      </w:r>
    </w:p>
    <w:p>
      <w:pPr>
        <w:spacing w:line="480" w:lineRule="exact"/>
        <w:ind w:firstLine="640" w:firstLineChars="200"/>
        <w:jc w:val="both"/>
        <w:rPr>
          <w:rFonts w:hint="eastAsia" w:ascii="仿宋_GB2312" w:hAnsi="宋体" w:eastAsia="仿宋_GB2312" w:cs="宋体"/>
          <w:bCs/>
          <w:sz w:val="32"/>
          <w:szCs w:val="32"/>
        </w:rPr>
      </w:pPr>
      <w:r>
        <w:rPr>
          <w:rFonts w:hint="eastAsia" w:ascii="仿宋_GB2312" w:hAnsi="宋体" w:eastAsia="仿宋_GB2312" w:cs="宋体"/>
          <w:bCs/>
          <w:sz w:val="32"/>
          <w:szCs w:val="32"/>
        </w:rPr>
        <w:t>峨眉山市作为国家确定的100个监测县之一，自2014年底启动该项工作以来，不断完善各项工作制度，及时获得完整、准确的全市居民心脑血管事件发病水平，动态了解发病变化趋势，为心脑血管病防控提供数据支撑。2016年起实施报告病例随访工作，进一步反映报告工作的完整性和准确性，了解病例生存状态。2016年1月1日-12月31日，峨眉山市</w:t>
      </w:r>
      <w:r>
        <w:rPr>
          <w:rFonts w:hint="eastAsia" w:ascii="仿宋_GB2312" w:hAnsi="宋体" w:eastAsia="仿宋_GB2312"/>
          <w:sz w:val="32"/>
          <w:szCs w:val="32"/>
        </w:rPr>
        <w:t>报告心脑血管事件发病及死亡共计2054例，报告率为476.1/10万（指标要求是350/10万）。</w:t>
      </w:r>
    </w:p>
    <w:p>
      <w:pPr>
        <w:spacing w:line="480" w:lineRule="exact"/>
        <w:ind w:firstLine="640" w:firstLineChars="200"/>
        <w:contextualSpacing/>
        <w:jc w:val="both"/>
        <w:rPr>
          <w:rFonts w:hint="eastAsia" w:ascii="仿宋_GB2312" w:hAnsi="宋体" w:eastAsia="仿宋_GB2312" w:cs="宋体"/>
          <w:sz w:val="32"/>
          <w:szCs w:val="32"/>
        </w:rPr>
      </w:pPr>
      <w:r>
        <w:rPr>
          <w:rFonts w:hint="eastAsia" w:ascii="仿宋_GB2312" w:hAnsi="宋体" w:eastAsia="仿宋_GB2312"/>
          <w:sz w:val="32"/>
          <w:szCs w:val="32"/>
        </w:rPr>
        <w:t>4.</w:t>
      </w:r>
      <w:r>
        <w:rPr>
          <w:rFonts w:hint="eastAsia" w:ascii="仿宋_GB2312" w:hAnsi="宋体" w:eastAsia="仿宋_GB2312" w:cs="宋体"/>
          <w:sz w:val="32"/>
          <w:szCs w:val="32"/>
        </w:rPr>
        <w:t>开展贫困县区健康管理员培训项目</w:t>
      </w:r>
    </w:p>
    <w:p>
      <w:pPr>
        <w:spacing w:line="480" w:lineRule="exact"/>
        <w:ind w:firstLine="640" w:firstLineChars="200"/>
        <w:contextualSpacing/>
        <w:jc w:val="both"/>
        <w:rPr>
          <w:rFonts w:hint="eastAsia" w:ascii="仿宋_GB2312" w:hAnsi="宋体" w:eastAsia="仿宋_GB2312" w:cs="宋体"/>
          <w:sz w:val="32"/>
          <w:szCs w:val="32"/>
        </w:rPr>
      </w:pPr>
      <w:r>
        <w:rPr>
          <w:rFonts w:hint="eastAsia" w:ascii="仿宋_GB2312" w:hAnsi="宋体" w:eastAsia="仿宋_GB2312" w:cs="宋体"/>
          <w:sz w:val="32"/>
          <w:szCs w:val="32"/>
        </w:rPr>
        <w:t>在峨边县、马边县、沐川县和金口河区开展贫困县区健康管理员培训项目。2016年共培训健康管理员115名，达到每个贫困县（市、区）培训20名健康管理员的目标。各县培训的健康管理员按照项目方案要求在辖区内招募和培训健康生活方式指导员966名，结合慢病主题日等日常慢病工作开展形式多样的主题宣教活动，指导开展 COPD 和风湿病的防控和管理工作，指导社区组建病人自我管理小组，并指导开展小组活动，并在全区范围内开展限盐限油等健康适宜工具推广。</w:t>
      </w:r>
    </w:p>
    <w:p>
      <w:pPr>
        <w:spacing w:line="480" w:lineRule="exact"/>
        <w:ind w:firstLine="640" w:firstLineChars="200"/>
        <w:contextualSpacing/>
        <w:jc w:val="both"/>
        <w:rPr>
          <w:rFonts w:hint="eastAsia" w:ascii="仿宋_GB2312" w:hAnsi="宋体" w:eastAsia="仿宋_GB2312" w:cs="宋体"/>
          <w:sz w:val="32"/>
          <w:szCs w:val="32"/>
        </w:rPr>
      </w:pPr>
      <w:r>
        <w:rPr>
          <w:rFonts w:hint="eastAsia" w:ascii="仿宋_GB2312" w:hAnsi="宋体" w:eastAsia="仿宋_GB2312" w:cs="宋体"/>
          <w:sz w:val="32"/>
          <w:szCs w:val="32"/>
        </w:rPr>
        <w:t>5.开展贫困县区慢性阻塞性肺疾病和类风湿关节炎患者健康管理项目</w:t>
      </w:r>
    </w:p>
    <w:p>
      <w:pPr>
        <w:spacing w:line="480" w:lineRule="exact"/>
        <w:ind w:firstLine="640" w:firstLineChars="200"/>
        <w:contextualSpacing/>
        <w:jc w:val="both"/>
        <w:rPr>
          <w:rFonts w:hint="eastAsia" w:ascii="仿宋_GB2312" w:hAnsi="宋体" w:eastAsia="仿宋_GB2312" w:cs="宋体"/>
          <w:sz w:val="32"/>
          <w:szCs w:val="32"/>
        </w:rPr>
      </w:pPr>
      <w:r>
        <w:rPr>
          <w:rFonts w:hint="eastAsia" w:ascii="仿宋_GB2312" w:hAnsi="宋体" w:eastAsia="仿宋_GB2312" w:cs="宋体"/>
          <w:sz w:val="32"/>
          <w:szCs w:val="32"/>
        </w:rPr>
        <w:t>在峨边县、马边县、沐川县和金口河区开展贫困县（市/区）慢性阻塞性肺疾病和类风湿关节炎患者健康管理项目。各县因地制宜制定了符合当地实际情况的慢性阻塞性肺疾病和类风湿关节炎患者健康管理项目实施方案，下发了慢阻肺和类风湿关节炎服务规范。按照方案和规范要求，对辖区内基层医务人员开展相关知识培训，截至2016年底，四个项目县医疗机构共计475个，培训合格基层医务人员总计659人，除金口河区乡村医生培训覆盖率82%，未达到100%要求外，其余3个县均达到100%要求；搜索并登记在册COPD患者2257例，登记率22.90%，管理942例，管理率9.56%，未达25%要求，规范管理781例，规范管理率82.91%，达到80%要求；搜索并登记在册类风湿关节炎患者240例，登记率26.43%，管理107例，管理率11.78%，未达25%要求，规范管理95例，规范管理率88.79%，达到80%要求。在项目工作开展过程中，各县在2016年11月第3周“世界慢阻肺日”陆续开展了形式多样的两病知识宣传活动并上报全民健康生活方式行动工作网报系统，各县疾控中心项目负责人每月及时上报COPD和类风湿关节炎患者健康管理月报表。</w:t>
      </w:r>
    </w:p>
    <w:p>
      <w:pPr>
        <w:spacing w:line="480" w:lineRule="exact"/>
        <w:ind w:firstLine="627" w:firstLineChars="196"/>
        <w:jc w:val="both"/>
        <w:rPr>
          <w:rFonts w:hint="eastAsia" w:ascii="黑体" w:hAnsi="宋体" w:eastAsia="黑体"/>
          <w:sz w:val="32"/>
          <w:szCs w:val="32"/>
        </w:rPr>
      </w:pPr>
      <w:r>
        <w:rPr>
          <w:rFonts w:hint="eastAsia" w:ascii="黑体" w:hAnsi="宋体" w:eastAsia="黑体"/>
          <w:sz w:val="32"/>
          <w:szCs w:val="32"/>
        </w:rPr>
        <w:t>四、存在的问题</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1、慢病防治力量薄弱：市级从事慢病防治工作的专职人员只有2人。部分区县虽然已经成立慢病科，但仍承担慢病以外的工作，从事慢病防治工作的人员为兼职人员，且人员流动性大，不利于工作的持续开展。</w:t>
      </w:r>
    </w:p>
    <w:p>
      <w:pPr>
        <w:spacing w:line="480" w:lineRule="exact"/>
        <w:ind w:firstLine="627" w:firstLineChars="196"/>
        <w:jc w:val="both"/>
        <w:rPr>
          <w:rFonts w:hint="eastAsia" w:ascii="仿宋_GB2312" w:hAnsi="宋体" w:eastAsia="仿宋_GB2312"/>
          <w:sz w:val="32"/>
          <w:szCs w:val="32"/>
        </w:rPr>
      </w:pPr>
      <w:r>
        <w:rPr>
          <w:rFonts w:hint="eastAsia" w:ascii="仿宋_GB2312" w:hAnsi="宋体" w:eastAsia="仿宋_GB2312"/>
          <w:sz w:val="32"/>
          <w:szCs w:val="32"/>
        </w:rPr>
        <w:t>2、我市虽然已全面开展全人群死因监测工作，全市的粗死亡率也达到了6‰的指标要求，但民族地区的报告粗死亡率仍然偏低，峨边县只有2.96‰。</w:t>
      </w:r>
    </w:p>
    <w:p>
      <w:pPr>
        <w:spacing w:line="480" w:lineRule="exact"/>
        <w:ind w:firstLine="627" w:firstLineChars="196"/>
        <w:jc w:val="both"/>
        <w:rPr>
          <w:rFonts w:hint="eastAsia" w:ascii="仿宋_GB2312" w:hAnsi="宋体" w:eastAsia="仿宋_GB2312"/>
          <w:sz w:val="32"/>
          <w:szCs w:val="32"/>
        </w:rPr>
      </w:pPr>
      <w:r>
        <w:rPr>
          <w:rFonts w:hint="eastAsia" w:ascii="仿宋_GB2312" w:hAnsi="宋体" w:eastAsia="仿宋_GB2312"/>
          <w:sz w:val="32"/>
          <w:szCs w:val="32"/>
        </w:rPr>
        <w:t>3、由于肿瘤随访登记专业性、技术性较强，对工作人员能力要求较高，大部分区县的报告数量与质量离要求都还有较大差距。</w:t>
      </w:r>
    </w:p>
    <w:p>
      <w:pPr>
        <w:spacing w:line="480" w:lineRule="exact"/>
        <w:ind w:firstLine="627" w:firstLineChars="196"/>
        <w:jc w:val="both"/>
        <w:rPr>
          <w:rFonts w:hint="eastAsia" w:ascii="仿宋_GB2312" w:hAnsi="宋体" w:eastAsia="仿宋_GB2312"/>
          <w:sz w:val="32"/>
          <w:szCs w:val="32"/>
        </w:rPr>
      </w:pPr>
      <w:r>
        <w:rPr>
          <w:rFonts w:hint="eastAsia" w:ascii="仿宋_GB2312" w:hAnsi="宋体" w:eastAsia="仿宋_GB2312"/>
          <w:sz w:val="32"/>
          <w:szCs w:val="32"/>
        </w:rPr>
        <w:t>4、我市已启动全民健康生活方式行动的大部分县区还处于起步阶段，各项工作还未深入开展。工作数量、质量仍需大力提高。</w:t>
      </w:r>
    </w:p>
    <w:p>
      <w:pPr>
        <w:spacing w:line="480" w:lineRule="exact"/>
        <w:ind w:firstLine="627" w:firstLineChars="196"/>
        <w:jc w:val="both"/>
        <w:rPr>
          <w:rFonts w:hint="eastAsia" w:ascii="黑体" w:hAnsi="宋体" w:eastAsia="黑体"/>
          <w:sz w:val="32"/>
          <w:szCs w:val="32"/>
        </w:rPr>
      </w:pPr>
      <w:r>
        <w:rPr>
          <w:rFonts w:hint="eastAsia" w:ascii="黑体" w:hAnsi="宋体" w:eastAsia="黑体"/>
          <w:sz w:val="32"/>
          <w:szCs w:val="32"/>
        </w:rPr>
        <w:t>五、下一步工作</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我市的慢病综合防治工作在人员数量、技术力量等各个层面仍然存在诸多不足，经费支持也不足以满足需求，因此我市慢病防治还有很多困难要克服，工作任重道远。在以后的工作中，需进一步完善慢病防治工作的各个环节。各级疾控中心要加强对基层医疗卫生机构慢病防治工作的督导与技术指导，加大慢病健康教育宣传力度，促进居民健康生活理念形成，提高健康意识；督促各区县深入开展全民健康生活方式行动相关工作；努力提高全人群死因监测工作尤其是民族地区的数量及质量；加强对肿瘤随访登记工作的培训指导，提高登记工作质量，使我市慢病社区综合防治工作不断向前发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5D6E25"/>
    <w:rsid w:val="575D6E2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4"/>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List Paragraph"/>
    <w:basedOn w:val="1"/>
    <w:qFormat/>
    <w:uiPriority w:val="0"/>
    <w:pPr>
      <w:widowControl w:val="0"/>
      <w:ind w:firstLine="420" w:firstLineChars="200"/>
      <w:jc w:val="both"/>
    </w:pPr>
    <w:rPr>
      <w:rFonts w:ascii="Calibri" w:hAnsi="Calibri"/>
      <w:kern w:val="2"/>
      <w:sz w:val="21"/>
      <w:szCs w:val="22"/>
    </w:rPr>
  </w:style>
  <w:style w:type="paragraph" w:customStyle="1" w:styleId="5">
    <w:name w:val="Default"/>
    <w:uiPriority w:val="0"/>
    <w:pPr>
      <w:widowControl w:val="0"/>
      <w:autoSpaceDE w:val="0"/>
      <w:autoSpaceDN w:val="0"/>
      <w:adjustRightInd w:val="0"/>
    </w:pPr>
    <w:rPr>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2017-03-02T02:11:00Z</dcterms:created>
  <dc:creator>Administrator</dc:creator>
  <cp:lastModifiedBy>Administrator</cp:lastModifiedBy>
  <dcterms:modified xsi:type="dcterms:W3CDTF">2017-03-02T02:12:38Z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